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EBA" w:rsidRDefault="00001EBA" w:rsidP="00001EBA">
      <w:pPr>
        <w:pStyle w:val="Titre1"/>
        <w:spacing w:before="0" w:beforeAutospacing="0" w:after="107" w:afterAutospacing="0"/>
        <w:rPr>
          <w:rFonts w:ascii="inherit" w:hAnsi="inherit"/>
          <w:color w:val="03419F"/>
          <w:sz w:val="19"/>
          <w:szCs w:val="19"/>
        </w:rPr>
      </w:pPr>
      <w:r>
        <w:rPr>
          <w:rFonts w:ascii="inherit" w:hAnsi="inherit"/>
          <w:color w:val="03419F"/>
          <w:sz w:val="19"/>
          <w:szCs w:val="19"/>
        </w:rPr>
        <w:t>Article 117</w:t>
      </w:r>
      <w:r>
        <w:rPr>
          <w:rFonts w:ascii="inherit" w:hAnsi="inherit" w:hint="cs"/>
          <w:color w:val="03419F"/>
          <w:sz w:val="19"/>
          <w:szCs w:val="19"/>
          <w:rtl/>
        </w:rPr>
        <w:t xml:space="preserve"> </w:t>
      </w:r>
      <w:r>
        <w:rPr>
          <w:rFonts w:ascii="inherit" w:hAnsi="inherit"/>
          <w:color w:val="03419F"/>
          <w:sz w:val="19"/>
          <w:szCs w:val="19"/>
        </w:rPr>
        <w:t xml:space="preserve"> de la constitution</w:t>
      </w:r>
    </w:p>
    <w:p w:rsidR="00001EBA" w:rsidRPr="00304D27" w:rsidRDefault="00001EBA" w:rsidP="00001EBA">
      <w:pPr>
        <w:pStyle w:val="NormalWeb"/>
        <w:shd w:val="clear" w:color="auto" w:fill="FFFFFF"/>
        <w:spacing w:before="21" w:beforeAutospacing="0" w:after="75" w:afterAutospacing="0"/>
        <w:jc w:val="both"/>
        <w:rPr>
          <w:rFonts w:asciiTheme="majorBidi" w:hAnsiTheme="majorBidi" w:cstheme="majorBidi"/>
          <w:color w:val="000000" w:themeColor="text1"/>
        </w:rPr>
      </w:pPr>
      <w:r w:rsidRPr="00304D27">
        <w:rPr>
          <w:rFonts w:asciiTheme="majorBidi" w:hAnsiTheme="majorBidi" w:cstheme="majorBidi"/>
          <w:color w:val="000000" w:themeColor="text1"/>
        </w:rPr>
        <w:t>La justice financière est composée de la Cour des comptes et de ses différents organes.</w:t>
      </w:r>
    </w:p>
    <w:p w:rsidR="00001EBA" w:rsidRPr="00304D27" w:rsidRDefault="00001EBA" w:rsidP="00001EBA">
      <w:pPr>
        <w:pStyle w:val="NormalWeb"/>
        <w:shd w:val="clear" w:color="auto" w:fill="FFFFFF"/>
        <w:spacing w:before="21" w:beforeAutospacing="0" w:after="75" w:afterAutospacing="0"/>
        <w:jc w:val="both"/>
        <w:rPr>
          <w:rFonts w:asciiTheme="majorBidi" w:hAnsiTheme="majorBidi" w:cstheme="majorBidi"/>
          <w:color w:val="000000" w:themeColor="text1"/>
        </w:rPr>
      </w:pPr>
      <w:r w:rsidRPr="00304D27">
        <w:rPr>
          <w:rFonts w:asciiTheme="majorBidi" w:hAnsiTheme="majorBidi" w:cstheme="majorBidi"/>
          <w:color w:val="000000" w:themeColor="text1"/>
        </w:rPr>
        <w:t>La Cour des comptes est compétente pour contrôler la bonne gestion des deniers publics conformément aux principes de légalité, d’efficacité et de transparence. Elle juge la comptabilité des comptables publics. Elle évalue les modes de gestion et sanctionne les fautes y afférentes. Elle assiste le pouvoir législatif et le pouvoir exécutif dans le contrôle de l’exécution des lois de finances et de règlement du budget.</w:t>
      </w:r>
    </w:p>
    <w:p w:rsidR="00001EBA" w:rsidRPr="00304D27" w:rsidRDefault="00001EBA" w:rsidP="00001EBA">
      <w:pPr>
        <w:pStyle w:val="NormalWeb"/>
        <w:shd w:val="clear" w:color="auto" w:fill="FFFFFF"/>
        <w:spacing w:before="21" w:beforeAutospacing="0" w:after="75" w:afterAutospacing="0"/>
        <w:jc w:val="both"/>
        <w:rPr>
          <w:rFonts w:asciiTheme="majorBidi" w:hAnsiTheme="majorBidi" w:cstheme="majorBidi"/>
          <w:color w:val="000000" w:themeColor="text1"/>
        </w:rPr>
      </w:pPr>
      <w:r w:rsidRPr="00304D27">
        <w:rPr>
          <w:rFonts w:asciiTheme="majorBidi" w:hAnsiTheme="majorBidi" w:cstheme="majorBidi"/>
          <w:color w:val="000000" w:themeColor="text1"/>
        </w:rPr>
        <w:t>La Cour des comptes établit un rapport général annuel qu’elle soumet au Président de la République, au Président de l’Assemblée des représentants du peuple, au Chef du Gouvernement et au président du Conseil supérieur de la magistrature. Ce rapport est publié. La Cour des comptes établit, le cas échéant, des rapports spéciaux pouvant être publiés.</w:t>
      </w:r>
    </w:p>
    <w:p w:rsidR="00001EBA" w:rsidRPr="00304D27" w:rsidRDefault="00001EBA" w:rsidP="00001EBA">
      <w:pPr>
        <w:pStyle w:val="NormalWeb"/>
        <w:shd w:val="clear" w:color="auto" w:fill="FFFFFF"/>
        <w:spacing w:before="21" w:beforeAutospacing="0" w:after="75" w:afterAutospacing="0"/>
        <w:jc w:val="both"/>
        <w:rPr>
          <w:rFonts w:asciiTheme="majorBidi" w:hAnsiTheme="majorBidi" w:cstheme="majorBidi"/>
          <w:color w:val="000000" w:themeColor="text1"/>
        </w:rPr>
      </w:pPr>
      <w:r w:rsidRPr="00304D27">
        <w:rPr>
          <w:rFonts w:asciiTheme="majorBidi" w:hAnsiTheme="majorBidi" w:cstheme="majorBidi"/>
          <w:color w:val="000000" w:themeColor="text1"/>
        </w:rPr>
        <w:t>La loi détermine l’organisation de la Cour des comptes, ses compétences, les procédures suivies devant elle ainsi que le statut de ses magistrats.</w:t>
      </w:r>
    </w:p>
    <w:p w:rsidR="00001EBA" w:rsidRDefault="00001EBA" w:rsidP="00001EBA">
      <w:pPr>
        <w:tabs>
          <w:tab w:val="left" w:pos="2203"/>
        </w:tabs>
      </w:pPr>
      <w:r>
        <w:tab/>
      </w:r>
    </w:p>
    <w:p w:rsidR="00006ACC" w:rsidRDefault="00006ACC" w:rsidP="00001EBA">
      <w:pPr>
        <w:jc w:val="right"/>
      </w:pPr>
    </w:p>
    <w:sectPr w:rsidR="00006ACC" w:rsidSect="00006AC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01EBA"/>
    <w:rsid w:val="00001EBA"/>
    <w:rsid w:val="00006A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BA"/>
  </w:style>
  <w:style w:type="paragraph" w:styleId="Titre1">
    <w:name w:val="heading 1"/>
    <w:basedOn w:val="Normal"/>
    <w:link w:val="Titre1Car"/>
    <w:uiPriority w:val="9"/>
    <w:qFormat/>
    <w:rsid w:val="00001E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1EBA"/>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001EB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880</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2016-05-03T08:58:00Z</dcterms:created>
  <dcterms:modified xsi:type="dcterms:W3CDTF">2016-05-03T08:59:00Z</dcterms:modified>
</cp:coreProperties>
</file>